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F82AB" w14:textId="77777777" w:rsidR="00CD36BA" w:rsidRDefault="00CD36BA" w:rsidP="00CD36BA">
      <w:pPr>
        <w:pStyle w:val="Overskrift1"/>
      </w:pPr>
    </w:p>
    <w:p w14:paraId="364486A1" w14:textId="77777777" w:rsidR="00CD36BA" w:rsidRDefault="00CD36BA" w:rsidP="00CD36BA">
      <w:pPr>
        <w:pStyle w:val="Overskrift1"/>
      </w:pPr>
    </w:p>
    <w:p w14:paraId="7DEDA447" w14:textId="77777777" w:rsidR="00CD36BA" w:rsidRPr="00CD36BA" w:rsidRDefault="00CD36BA" w:rsidP="00CD36BA">
      <w:pPr>
        <w:pStyle w:val="Overskrift1"/>
        <w:jc w:val="center"/>
        <w:rPr>
          <w:sz w:val="36"/>
          <w:szCs w:val="36"/>
        </w:rPr>
      </w:pPr>
      <w:r w:rsidRPr="00CD36BA">
        <w:rPr>
          <w:sz w:val="36"/>
          <w:szCs w:val="36"/>
        </w:rPr>
        <w:t>Rekrutteringspolicy</w:t>
      </w:r>
    </w:p>
    <w:p w14:paraId="20C4372C" w14:textId="77777777" w:rsidR="0045597E" w:rsidRDefault="00653A00" w:rsidP="003F60FE">
      <w:pPr>
        <w:pStyle w:val="parafering0"/>
        <w:ind w:left="5387"/>
      </w:pPr>
      <w:fldSimple w:instr=" FILLIN &quot;Navn og tittel til den som paraferer:&quot; \o \* MERGEFORMAT ">
        <w:r w:rsidR="00CD36BA">
          <w:t>          </w:t>
        </w:r>
      </w:fldSimple>
    </w:p>
    <w:p w14:paraId="228564BC" w14:textId="77777777" w:rsidR="00E36F78" w:rsidRDefault="00E36F78" w:rsidP="005B30BC">
      <w:pPr>
        <w:pStyle w:val="parafering0"/>
      </w:pPr>
    </w:p>
    <w:p w14:paraId="72763A4A" w14:textId="77777777" w:rsidR="00E36F78" w:rsidRDefault="00E36F78" w:rsidP="005B30BC">
      <w:pPr>
        <w:pStyle w:val="parafering0"/>
      </w:pPr>
    </w:p>
    <w:p w14:paraId="3CA7195A" w14:textId="77777777" w:rsidR="00E36F78" w:rsidRDefault="00E36F78" w:rsidP="005B30BC">
      <w:pPr>
        <w:pStyle w:val="parafering0"/>
      </w:pPr>
    </w:p>
    <w:p w14:paraId="71845DE5" w14:textId="77777777" w:rsidR="00A809EB" w:rsidRDefault="005B30BC" w:rsidP="00A809EB">
      <w:pPr>
        <w:pStyle w:val="parafering0"/>
      </w:pPr>
      <w:r>
        <w:t>TØI</w:t>
      </w:r>
      <w:r w:rsidR="00EF6BB8">
        <w:t xml:space="preserve"> har</w:t>
      </w:r>
      <w:r>
        <w:t xml:space="preserve"> en ledende posisjon innen samferdselsforskning.</w:t>
      </w:r>
      <w:r w:rsidR="00EF6BB8">
        <w:t xml:space="preserve"> </w:t>
      </w:r>
      <w:r w:rsidR="00352AD7">
        <w:t>Vi</w:t>
      </w:r>
      <w:r w:rsidR="00A809EB">
        <w:t xml:space="preserve"> etterstrebe</w:t>
      </w:r>
      <w:r w:rsidR="00352AD7">
        <w:t>r</w:t>
      </w:r>
      <w:r w:rsidR="00A809EB">
        <w:t xml:space="preserve"> et godt arbeidsmiljø og et åpent samarbeid både internt og eksternt. Kreativitet og nytenkning skal prege forskningen. Kunnskapen skal brukes for å skape bærekraftig transport i Norge og internasjonalt.</w:t>
      </w:r>
    </w:p>
    <w:p w14:paraId="7E130FFA" w14:textId="77777777" w:rsidR="007A75B0" w:rsidRDefault="00B603A4" w:rsidP="007A75B0">
      <w:pPr>
        <w:pStyle w:val="parafering0"/>
      </w:pPr>
      <w:r>
        <w:t>D</w:t>
      </w:r>
      <w:r w:rsidRPr="00B603A4">
        <w:t xml:space="preserve">et er et mål for TØI </w:t>
      </w:r>
      <w:bookmarkStart w:id="0" w:name="_GoBack"/>
      <w:bookmarkEnd w:id="0"/>
      <w:r w:rsidRPr="00B603A4">
        <w:t xml:space="preserve">at </w:t>
      </w:r>
      <w:r w:rsidR="00BF2028">
        <w:t>vi</w:t>
      </w:r>
      <w:r w:rsidR="00BF2028" w:rsidRPr="00B603A4">
        <w:t xml:space="preserve"> </w:t>
      </w:r>
      <w:r w:rsidRPr="00B603A4">
        <w:t>skal ha</w:t>
      </w:r>
      <w:r w:rsidR="00BF2028">
        <w:t xml:space="preserve"> ansatte med</w:t>
      </w:r>
      <w:r w:rsidRPr="00B603A4">
        <w:t xml:space="preserve"> ulik fagbakgrunn</w:t>
      </w:r>
      <w:r w:rsidR="00E36F78">
        <w:t>.</w:t>
      </w:r>
      <w:r w:rsidRPr="00B603A4">
        <w:t xml:space="preserve"> </w:t>
      </w:r>
      <w:r w:rsidR="00A809EB">
        <w:t>TØI er og skal være et tverrvitenskapelig institutt med fokus på samfunnsvitenskap, men instituttet skal også ha naturvitenskapelig- og ingeniørkompetanse for å se utfordringer og løsninger i et større perspektiv. Tverrvitenskapelig- og tverrsektoriell forskning krever godt samarbeid, internt og med andre kunnskapsmiljøer. TØI skal være en åpen og attraktiv samarbeidspartner.</w:t>
      </w:r>
    </w:p>
    <w:p w14:paraId="3C58D857" w14:textId="77777777" w:rsidR="00EA59FE" w:rsidRDefault="00352AD7" w:rsidP="00352AD7">
      <w:r>
        <w:t xml:space="preserve">Vår </w:t>
      </w:r>
      <w:r w:rsidR="00B603A4">
        <w:t xml:space="preserve">rekrutteringspolicy skal </w:t>
      </w:r>
      <w:r w:rsidR="005B30BC">
        <w:t xml:space="preserve">jobbe for </w:t>
      </w:r>
      <w:r w:rsidR="007A75B0">
        <w:t>dette og være et</w:t>
      </w:r>
      <w:r w:rsidR="00B603A4">
        <w:t xml:space="preserve"> miljø med kompetente og engasjerte medarbeidere</w:t>
      </w:r>
      <w:r w:rsidR="00BA47EC">
        <w:t>. Det skal vi oppnå gjennom bl.a.</w:t>
      </w:r>
    </w:p>
    <w:p w14:paraId="37705873" w14:textId="77777777" w:rsidR="00352AD7" w:rsidRDefault="00352AD7" w:rsidP="00352AD7"/>
    <w:p w14:paraId="6BFDFB42" w14:textId="77777777" w:rsidR="008873B2" w:rsidRDefault="008873B2" w:rsidP="00352AD7">
      <w:pPr>
        <w:pStyle w:val="Listeavsnitt"/>
        <w:numPr>
          <w:ilvl w:val="0"/>
          <w:numId w:val="42"/>
        </w:numPr>
      </w:pPr>
      <w:r>
        <w:t xml:space="preserve">Meritterende forskningsvirksomhet </w:t>
      </w:r>
    </w:p>
    <w:p w14:paraId="099CF7C2" w14:textId="77777777" w:rsidR="008873B2" w:rsidRDefault="008873B2" w:rsidP="00352AD7">
      <w:pPr>
        <w:pStyle w:val="Listeavsnitt"/>
        <w:numPr>
          <w:ilvl w:val="0"/>
          <w:numId w:val="42"/>
        </w:numPr>
      </w:pPr>
      <w:r>
        <w:t>Internasjonale forskningsprosjekter</w:t>
      </w:r>
    </w:p>
    <w:p w14:paraId="65D98CCA" w14:textId="77777777" w:rsidR="008873B2" w:rsidRDefault="008873B2" w:rsidP="00352AD7">
      <w:pPr>
        <w:pStyle w:val="Listeavsnitt"/>
        <w:numPr>
          <w:ilvl w:val="0"/>
          <w:numId w:val="42"/>
        </w:numPr>
      </w:pPr>
      <w:r>
        <w:t>Utredning og innovasjonsprosjekter</w:t>
      </w:r>
    </w:p>
    <w:p w14:paraId="65FB0DE1" w14:textId="77777777" w:rsidR="008873B2" w:rsidRDefault="008873B2" w:rsidP="00352AD7">
      <w:pPr>
        <w:pStyle w:val="Listeavsnitt"/>
        <w:numPr>
          <w:ilvl w:val="0"/>
          <w:numId w:val="42"/>
        </w:numPr>
      </w:pPr>
      <w:r>
        <w:t>Inspirerende faglig felleskap for å utvikle ideer og prosjekter</w:t>
      </w:r>
    </w:p>
    <w:p w14:paraId="6B504B2D" w14:textId="77777777" w:rsidR="008873B2" w:rsidRDefault="008873B2" w:rsidP="00352AD7">
      <w:pPr>
        <w:pStyle w:val="Listeavsnitt"/>
        <w:numPr>
          <w:ilvl w:val="0"/>
          <w:numId w:val="42"/>
        </w:numPr>
      </w:pPr>
      <w:r>
        <w:t>Godt arbeidsmiljø</w:t>
      </w:r>
    </w:p>
    <w:p w14:paraId="0260E068" w14:textId="77777777" w:rsidR="00724304" w:rsidRDefault="008873B2" w:rsidP="007E1049">
      <w:pPr>
        <w:pStyle w:val="Listeavsnitt"/>
        <w:numPr>
          <w:ilvl w:val="0"/>
          <w:numId w:val="42"/>
        </w:numPr>
      </w:pPr>
      <w:r>
        <w:t xml:space="preserve">Konkurransedyktige betingelser </w:t>
      </w:r>
      <w:proofErr w:type="spellStart"/>
      <w:r>
        <w:t>mht</w:t>
      </w:r>
      <w:proofErr w:type="spellEnd"/>
      <w:r>
        <w:t xml:space="preserve"> lønn og pensjonsordninger</w:t>
      </w:r>
    </w:p>
    <w:p w14:paraId="598DAE5A" w14:textId="77777777" w:rsidR="00724304" w:rsidRDefault="00724304" w:rsidP="00724304"/>
    <w:p w14:paraId="2B6691DC" w14:textId="77777777" w:rsidR="00724304" w:rsidRDefault="00E95813" w:rsidP="00724304">
      <w:r>
        <w:t>Løsninger TØI foreslår skal baseres på kunnskap av høy vitenskapelig kvalitet. TØI</w:t>
      </w:r>
      <w:r w:rsidR="00724304">
        <w:t xml:space="preserve"> </w:t>
      </w:r>
      <w:r>
        <w:t>skal sikre dette ved at instituttets forskning publiseres i internasjonale</w:t>
      </w:r>
      <w:r w:rsidR="00724304">
        <w:t xml:space="preserve"> </w:t>
      </w:r>
      <w:r>
        <w:t xml:space="preserve">vitenskapelige tidsskrifter. I tillegg til å kvalitetssikre forskningen, bidrar det til at vi blir en aktiv partner i den globale vitenskapelige samtalen. </w:t>
      </w:r>
      <w:r>
        <w:cr/>
      </w:r>
    </w:p>
    <w:p w14:paraId="18F66344" w14:textId="77777777" w:rsidR="00A809EB" w:rsidRDefault="008873B2" w:rsidP="00724304">
      <w:r>
        <w:t>TØI har ambisjoner om å rekruttere personer slik at våre ansatte mest mulig gjenspeiler mangfoldet i befolkningen.</w:t>
      </w:r>
    </w:p>
    <w:p w14:paraId="3F4ADFFA" w14:textId="77777777" w:rsidR="00724304" w:rsidRDefault="00724304" w:rsidP="00724304"/>
    <w:p w14:paraId="367F3D1B" w14:textId="77777777" w:rsidR="00A809EB" w:rsidRDefault="00A809EB" w:rsidP="00A809EB">
      <w:pPr>
        <w:pStyle w:val="parafering0"/>
      </w:pPr>
      <w:r>
        <w:lastRenderedPageBreak/>
        <w:t>Instituttets virksomhet bygger på følgende kjerneverdier:</w:t>
      </w:r>
    </w:p>
    <w:p w14:paraId="4A5812FE" w14:textId="77777777" w:rsidR="00A809EB" w:rsidRDefault="00A809EB" w:rsidP="00A809EB">
      <w:pPr>
        <w:pStyle w:val="parafering0"/>
      </w:pPr>
      <w:r>
        <w:t>• Uavhengighet</w:t>
      </w:r>
    </w:p>
    <w:p w14:paraId="2FDD807A" w14:textId="77777777" w:rsidR="00A809EB" w:rsidRDefault="00A809EB" w:rsidP="00A809EB">
      <w:pPr>
        <w:pStyle w:val="parafering0"/>
      </w:pPr>
      <w:r>
        <w:t>• Etterrettelighet</w:t>
      </w:r>
    </w:p>
    <w:p w14:paraId="5F9698DE" w14:textId="77777777" w:rsidR="00A809EB" w:rsidRDefault="00A809EB" w:rsidP="00A809EB">
      <w:pPr>
        <w:pStyle w:val="parafering0"/>
      </w:pPr>
      <w:r>
        <w:t>• Glede og fellesskap</w:t>
      </w:r>
    </w:p>
    <w:p w14:paraId="2F73609B" w14:textId="77777777" w:rsidR="00CD36BA" w:rsidRDefault="00CD36BA" w:rsidP="00CD36BA">
      <w:pPr>
        <w:pStyle w:val="parafering0"/>
      </w:pPr>
    </w:p>
    <w:p w14:paraId="784DD99F" w14:textId="77777777" w:rsidR="00441761" w:rsidRDefault="00441761" w:rsidP="00EE736C">
      <w:pPr>
        <w:pStyle w:val="Overskrift1"/>
      </w:pPr>
      <w:r>
        <w:t>Kompetanse</w:t>
      </w:r>
      <w:r w:rsidR="00A809EB">
        <w:t xml:space="preserve"> og -utvikling</w:t>
      </w:r>
    </w:p>
    <w:p w14:paraId="5DA29542" w14:textId="77777777" w:rsidR="00352AD7" w:rsidRDefault="00E95813" w:rsidP="00441761">
      <w:r>
        <w:t xml:space="preserve">Kompetansen til </w:t>
      </w:r>
      <w:proofErr w:type="spellStart"/>
      <w:r>
        <w:t>TØIs</w:t>
      </w:r>
      <w:proofErr w:type="spellEnd"/>
      <w:r>
        <w:t xml:space="preserve"> forskere er instituttets viktigste ressurs. Kompetanse bygges først og fremst gjennom erfaring fra våre forskningsprosjekter, både bidrags</w:t>
      </w:r>
      <w:r w:rsidR="00352AD7">
        <w:t xml:space="preserve">- </w:t>
      </w:r>
      <w:r>
        <w:t xml:space="preserve">og oppdragsforskning. Den enkelte forskers kompetanseutvikling vurderes </w:t>
      </w:r>
      <w:r w:rsidR="00352AD7">
        <w:t>av et eksternt kompetansepanel</w:t>
      </w:r>
      <w:r>
        <w:t xml:space="preserve">. Akademisk merittering </w:t>
      </w:r>
      <w:r w:rsidR="00352AD7">
        <w:t>er</w:t>
      </w:r>
      <w:r>
        <w:t xml:space="preserve"> viktig, ikke minst i internasjonal forskning. Vår målsetting er at mer enn 50 prosent av forskerne skal ha akademisk doktorgrad. Norge har ingen dedi</w:t>
      </w:r>
      <w:r w:rsidR="00352AD7">
        <w:t>kert akademisk transportforske</w:t>
      </w:r>
      <w:r>
        <w:t xml:space="preserve">rutdannelse. TØI støtter derfor ansattes doktorgradsstudier gjennom en kombinasjon av eksterne prosjekter og intern finansiering. Vi tilstreber et tettere samarbeide med en eller flere akademiske institusjoner for enklere å kunne tilby doktorandsstudier, men legger også til rette for kompletterende akademiske karriereveier for ansatte gjennom professor-II tilknytning. </w:t>
      </w:r>
    </w:p>
    <w:p w14:paraId="4144DF6A" w14:textId="77777777" w:rsidR="00352AD7" w:rsidRDefault="00352AD7" w:rsidP="00441761"/>
    <w:p w14:paraId="0A3BC891" w14:textId="77777777" w:rsidR="00441761" w:rsidRDefault="00441761" w:rsidP="00441761">
      <w:r>
        <w:t>Som hovedregel ansettes bare søkere med høyere eksamen fra universitet / høyskole eller tilsvarende som forskere ved TØI.</w:t>
      </w:r>
      <w:r w:rsidR="00E36F78">
        <w:t xml:space="preserve"> </w:t>
      </w:r>
      <w:r w:rsidR="002503C6">
        <w:t xml:space="preserve">I de tilfeller hvor vi har behov for spesiell kompetanse som ikke fyller formalkravene på TØI, </w:t>
      </w:r>
      <w:r w:rsidR="0089309F">
        <w:t>skal dette drøftes med</w:t>
      </w:r>
      <w:r w:rsidR="002503C6">
        <w:t xml:space="preserve"> de ansattes representanter i rekrutteringsprosessen. </w:t>
      </w:r>
      <w:r>
        <w:t xml:space="preserve"> </w:t>
      </w:r>
    </w:p>
    <w:p w14:paraId="328A1B19" w14:textId="77777777" w:rsidR="00334940" w:rsidRDefault="00334940" w:rsidP="00441761"/>
    <w:p w14:paraId="773E5F4D" w14:textId="77777777" w:rsidR="00B603A4" w:rsidRDefault="00B603A4" w:rsidP="00334940">
      <w:r w:rsidRPr="00F3741E">
        <w:t>TØI skal ha et kompetent støtteapparat (administrasjon og servicefunksjoner) som drives på en effektiv og profesjonell måte og med høy servicegrad</w:t>
      </w:r>
      <w:r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.</w:t>
      </w:r>
      <w:r w:rsidR="00F3741E">
        <w:rPr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334940">
        <w:t xml:space="preserve">Administrativt personal </w:t>
      </w:r>
      <w:r w:rsidR="002E002F">
        <w:t>skal ha kvalifikasjoner i henhold til kravet i den aktuelle stillingen.</w:t>
      </w:r>
      <w:r w:rsidR="00974244">
        <w:t xml:space="preserve"> </w:t>
      </w:r>
    </w:p>
    <w:p w14:paraId="2EDB0948" w14:textId="77777777" w:rsidR="00B603A4" w:rsidRDefault="00B603A4" w:rsidP="00334940"/>
    <w:p w14:paraId="23FFCFD2" w14:textId="77777777" w:rsidR="00EA59FE" w:rsidRDefault="00EA59FE" w:rsidP="00334940"/>
    <w:p w14:paraId="27D47BC4" w14:textId="77777777" w:rsidR="00A809EB" w:rsidRDefault="00EA59FE" w:rsidP="00441761">
      <w:r>
        <w:t xml:space="preserve">Alle ansatte skal gis muligheter for utvikling av sin kompetanse </w:t>
      </w:r>
      <w:r w:rsidR="002E002F">
        <w:t xml:space="preserve">slik at det bidrar til egen </w:t>
      </w:r>
      <w:r w:rsidR="00B607F3">
        <w:t>vekst</w:t>
      </w:r>
      <w:r w:rsidR="002E002F">
        <w:t xml:space="preserve"> og </w:t>
      </w:r>
      <w:r w:rsidR="00B607F3">
        <w:t>for å ivareta</w:t>
      </w:r>
      <w:r w:rsidR="002E002F">
        <w:t xml:space="preserve"> </w:t>
      </w:r>
      <w:proofErr w:type="spellStart"/>
      <w:r>
        <w:t>TØIs</w:t>
      </w:r>
      <w:proofErr w:type="spellEnd"/>
      <w:r>
        <w:t xml:space="preserve"> strategi og mål.</w:t>
      </w:r>
      <w:r w:rsidR="00B607F3">
        <w:t xml:space="preserve"> Sammen med den ansatte utvikler avdelingsleder individuelle utviklingsplaner, normalt for ett år av gangen. For de yngre forskerne er det en tettere oppfølging for å sikre god utvikling.</w:t>
      </w:r>
    </w:p>
    <w:p w14:paraId="1D9CC4D4" w14:textId="77777777" w:rsidR="00A809EB" w:rsidRDefault="00A809EB" w:rsidP="00441761"/>
    <w:p w14:paraId="2237BC74" w14:textId="77777777" w:rsidR="00B607F3" w:rsidRDefault="00B607F3" w:rsidP="00441761"/>
    <w:p w14:paraId="4F4573E6" w14:textId="77777777" w:rsidR="00B607F3" w:rsidRDefault="0089309F" w:rsidP="00441761">
      <w:r>
        <w:t>F</w:t>
      </w:r>
      <w:r w:rsidR="00B607F3">
        <w:t>orsker</w:t>
      </w:r>
      <w:r>
        <w:t>n</w:t>
      </w:r>
      <w:r w:rsidR="00B607F3">
        <w:t xml:space="preserve">e får mulighet til ledererfaring gjennom prosjektledelse. </w:t>
      </w:r>
      <w:r w:rsidR="004D3F17">
        <w:t>Man kan videre</w:t>
      </w:r>
      <w:r w:rsidR="00B607F3">
        <w:t xml:space="preserve"> søke seg til forskningslederrollen som har faglig ansvar for et fagområde, eller til avdelingslederrollen, som også har personalansvar.</w:t>
      </w:r>
    </w:p>
    <w:p w14:paraId="367C1C84" w14:textId="77777777" w:rsidR="00EA59FE" w:rsidRDefault="00EA59FE" w:rsidP="00441761"/>
    <w:p w14:paraId="525EC540" w14:textId="77777777" w:rsidR="00441761" w:rsidRDefault="00441761" w:rsidP="00EE736C">
      <w:pPr>
        <w:pStyle w:val="Overskrift1"/>
      </w:pPr>
      <w:r>
        <w:t>Lederstillinger</w:t>
      </w:r>
      <w:r w:rsidR="002105E5">
        <w:t xml:space="preserve"> </w:t>
      </w:r>
    </w:p>
    <w:p w14:paraId="18C2052A" w14:textId="77777777" w:rsidR="00250F29" w:rsidRDefault="00250F29" w:rsidP="00441761">
      <w:r>
        <w:t xml:space="preserve">Administrerende direktør besettes etter </w:t>
      </w:r>
      <w:r w:rsidR="006517E9">
        <w:t xml:space="preserve">intern og ekstern </w:t>
      </w:r>
      <w:r>
        <w:t xml:space="preserve">utlysning </w:t>
      </w:r>
      <w:r w:rsidR="006517E9">
        <w:t xml:space="preserve">av </w:t>
      </w:r>
      <w:r>
        <w:t xml:space="preserve">styret. </w:t>
      </w:r>
    </w:p>
    <w:p w14:paraId="664CD8B9" w14:textId="77777777" w:rsidR="0089309F" w:rsidRDefault="0089309F" w:rsidP="00441761"/>
    <w:p w14:paraId="2D232173" w14:textId="77777777" w:rsidR="002105E5" w:rsidRDefault="00441761" w:rsidP="00441761">
      <w:r>
        <w:t>Avdelingsleder og forskningsleder er lederstilling</w:t>
      </w:r>
      <w:r w:rsidR="002E002F">
        <w:t>er</w:t>
      </w:r>
      <w:r>
        <w:t xml:space="preserve"> med </w:t>
      </w:r>
      <w:r w:rsidRPr="00096EE9">
        <w:t xml:space="preserve">åremål på fem år. </w:t>
      </w:r>
    </w:p>
    <w:p w14:paraId="37C7165D" w14:textId="77777777" w:rsidR="00441761" w:rsidRDefault="002105E5">
      <w:r>
        <w:t xml:space="preserve">Det er anledning til å inneha stillingen sammenhengende i flere perioder.  </w:t>
      </w:r>
    </w:p>
    <w:p w14:paraId="6BB1C29A" w14:textId="77777777" w:rsidR="00441761" w:rsidRDefault="00441761" w:rsidP="00441761"/>
    <w:p w14:paraId="1D837F77" w14:textId="77777777" w:rsidR="00441761" w:rsidRDefault="00441761" w:rsidP="00EE736C">
      <w:pPr>
        <w:pStyle w:val="Overskrift1"/>
      </w:pPr>
      <w:r>
        <w:lastRenderedPageBreak/>
        <w:t>Utlysning</w:t>
      </w:r>
    </w:p>
    <w:p w14:paraId="58BDB2E6" w14:textId="77777777" w:rsidR="007752E4" w:rsidRDefault="007752E4" w:rsidP="00804638">
      <w:pPr>
        <w:rPr>
          <w:rFonts w:ascii="Times New Roman" w:hAnsi="Times New Roman"/>
          <w:lang w:eastAsia="nb-NO"/>
        </w:rPr>
      </w:pPr>
      <w:r>
        <w:t xml:space="preserve">Alle </w:t>
      </w:r>
      <w:r w:rsidR="00281F49">
        <w:t xml:space="preserve">typer </w:t>
      </w:r>
      <w:r>
        <w:t>stillinger</w:t>
      </w:r>
      <w:r w:rsidR="00281F49">
        <w:t xml:space="preserve"> på TØI</w:t>
      </w:r>
      <w:r>
        <w:t xml:space="preserve">, </w:t>
      </w:r>
      <w:r w:rsidR="004D3F17">
        <w:t>inkludert</w:t>
      </w:r>
      <w:r w:rsidR="0089309F">
        <w:t xml:space="preserve"> </w:t>
      </w:r>
      <w:r>
        <w:t>avdelingsleder og forskningsleder</w:t>
      </w:r>
      <w:r w:rsidR="0089309F">
        <w:t>,</w:t>
      </w:r>
      <w:r w:rsidR="002E002F">
        <w:t xml:space="preserve"> utlyses normalt </w:t>
      </w:r>
      <w:r w:rsidRPr="00281F49">
        <w:t>både eksternt og internt</w:t>
      </w:r>
      <w:r w:rsidR="002E002F">
        <w:t>.</w:t>
      </w:r>
      <w:r w:rsidR="004D3F17">
        <w:t xml:space="preserve"> Alle stillinger annonseres gjennom ulike</w:t>
      </w:r>
      <w:r w:rsidR="0089309F">
        <w:t xml:space="preserve"> </w:t>
      </w:r>
      <w:r w:rsidR="00352AD7">
        <w:t>(</w:t>
      </w:r>
      <w:r w:rsidR="0089309F">
        <w:t>eksterne</w:t>
      </w:r>
      <w:r w:rsidR="00352AD7">
        <w:t>)</w:t>
      </w:r>
      <w:r w:rsidR="004D3F17">
        <w:t xml:space="preserve"> media (dagspressen, sosiale medier og nettet for øvrig). </w:t>
      </w:r>
      <w:r w:rsidR="00281F49">
        <w:t xml:space="preserve"> </w:t>
      </w:r>
    </w:p>
    <w:p w14:paraId="00850404" w14:textId="77777777" w:rsidR="007752E4" w:rsidRDefault="007752E4" w:rsidP="007752E4"/>
    <w:p w14:paraId="09F7B47F" w14:textId="77777777" w:rsidR="00EA59FE" w:rsidRDefault="00EA59FE" w:rsidP="007752E4">
      <w:r w:rsidRPr="00EA59FE">
        <w:t xml:space="preserve">TØI </w:t>
      </w:r>
      <w:r w:rsidR="00580D09">
        <w:t>imøteser også</w:t>
      </w:r>
      <w:r>
        <w:t xml:space="preserve"> åpne søknader </w:t>
      </w:r>
      <w:r w:rsidR="00580D09">
        <w:t>fra de som</w:t>
      </w:r>
      <w:r w:rsidRPr="00EA59FE">
        <w:t xml:space="preserve"> har lyst til å jobbe med samferdselsforskning</w:t>
      </w:r>
      <w:r w:rsidR="00580D09">
        <w:t>.</w:t>
      </w:r>
    </w:p>
    <w:p w14:paraId="7ED41199" w14:textId="77777777" w:rsidR="00EA59FE" w:rsidRDefault="00EA59FE" w:rsidP="007752E4"/>
    <w:p w14:paraId="28B41F65" w14:textId="77777777" w:rsidR="004D3F17" w:rsidRDefault="004D3F17" w:rsidP="007752E4"/>
    <w:p w14:paraId="21252ADA" w14:textId="77777777" w:rsidR="00441761" w:rsidRDefault="004D3F17" w:rsidP="00EE736C">
      <w:pPr>
        <w:pStyle w:val="Overskrift1"/>
      </w:pPr>
      <w:r>
        <w:t>Rekrutteringsprosessen</w:t>
      </w:r>
    </w:p>
    <w:p w14:paraId="29E9B9C6" w14:textId="77777777" w:rsidR="00E52223" w:rsidRDefault="00580D09" w:rsidP="00EF6BB8">
      <w:r>
        <w:t xml:space="preserve">Alle ansettelser skjer etter vurdering og sammenligning av formelle kvalifikasjoner, intervju med aktuelle kandidater og </w:t>
      </w:r>
      <w:proofErr w:type="gramStart"/>
      <w:r>
        <w:t>normalt involvering</w:t>
      </w:r>
      <w:proofErr w:type="gramEnd"/>
      <w:r>
        <w:t xml:space="preserve"> av flere funksjoner ved TØI (</w:t>
      </w:r>
      <w:r w:rsidR="007752E4">
        <w:t>Administrerende direktør</w:t>
      </w:r>
      <w:r>
        <w:t>, avdelingsleder, HR, og i noen tilfelle ansattes representanter</w:t>
      </w:r>
      <w:r w:rsidR="00EF6BB8">
        <w:t>).</w:t>
      </w:r>
      <w:r w:rsidR="007752E4">
        <w:t xml:space="preserve"> </w:t>
      </w:r>
    </w:p>
    <w:p w14:paraId="0688ACD6" w14:textId="77777777" w:rsidR="00CD36BA" w:rsidRDefault="00CD36BA" w:rsidP="00CD36BA">
      <w:pPr>
        <w:pStyle w:val="parafering0"/>
      </w:pPr>
    </w:p>
    <w:p w14:paraId="445B414B" w14:textId="77777777" w:rsidR="00814892" w:rsidRPr="0089309F" w:rsidRDefault="00814892" w:rsidP="00814892">
      <w:pPr>
        <w:pStyle w:val="Liste"/>
        <w:tabs>
          <w:tab w:val="clear" w:pos="1492"/>
          <w:tab w:val="num" w:pos="360"/>
        </w:tabs>
        <w:ind w:left="360"/>
        <w:rPr>
          <w:rFonts w:ascii="Garamond" w:hAnsi="Garamond"/>
        </w:rPr>
      </w:pPr>
      <w:r w:rsidRPr="0089309F">
        <w:rPr>
          <w:rFonts w:ascii="Garamond" w:hAnsi="Garamond"/>
        </w:rPr>
        <w:t>Hovedregelen er at kvalifikasjonene avgjør hvem som skal tilsettes i en ledig stilling. Under ellers like vilkår avgjør ansettelsestiden ved TØI.</w:t>
      </w:r>
    </w:p>
    <w:p w14:paraId="7BE4B2E2" w14:textId="77777777" w:rsidR="00814892" w:rsidRPr="0089309F" w:rsidRDefault="00814892" w:rsidP="00814892">
      <w:pPr>
        <w:pStyle w:val="Liste"/>
        <w:numPr>
          <w:ilvl w:val="0"/>
          <w:numId w:val="0"/>
        </w:numPr>
        <w:ind w:left="360"/>
        <w:rPr>
          <w:rFonts w:ascii="Garamond" w:hAnsi="Garamond"/>
        </w:rPr>
      </w:pPr>
      <w:r w:rsidRPr="0089309F">
        <w:rPr>
          <w:rFonts w:ascii="Garamond" w:hAnsi="Garamond"/>
        </w:rPr>
        <w:t>Ved tilsettinger innen fagområder eller i stillinger hvor det forekom</w:t>
      </w:r>
      <w:r w:rsidRPr="0089309F">
        <w:rPr>
          <w:rFonts w:ascii="Garamond" w:hAnsi="Garamond"/>
        </w:rPr>
        <w:softHyphen/>
        <w:t>mer under</w:t>
      </w:r>
      <w:r w:rsidRPr="0089309F">
        <w:rPr>
          <w:rFonts w:ascii="Garamond" w:hAnsi="Garamond"/>
        </w:rPr>
        <w:softHyphen/>
        <w:t>representasjon av et kjønn, skal søkere av det kjønn som er under</w:t>
      </w:r>
      <w:r w:rsidRPr="0089309F">
        <w:rPr>
          <w:rFonts w:ascii="Garamond" w:hAnsi="Garamond"/>
        </w:rPr>
        <w:softHyphen/>
        <w:t>representert tilsettes framfor søkere av det annet kjønn, dersom søkerne har like kvalifikasjoner.</w:t>
      </w:r>
    </w:p>
    <w:p w14:paraId="0FAF83BD" w14:textId="77777777" w:rsidR="00814892" w:rsidRPr="0089309F" w:rsidRDefault="00814892" w:rsidP="00814892">
      <w:pPr>
        <w:pStyle w:val="Liste"/>
        <w:numPr>
          <w:ilvl w:val="0"/>
          <w:numId w:val="41"/>
        </w:numPr>
        <w:rPr>
          <w:rFonts w:ascii="Garamond" w:hAnsi="Garamond"/>
        </w:rPr>
      </w:pPr>
      <w:r w:rsidRPr="0089309F">
        <w:rPr>
          <w:rFonts w:ascii="Garamond" w:hAnsi="Garamond"/>
        </w:rPr>
        <w:t>Tilsettinger ved TØI skal normalt skje ved faste stillinger uten tids</w:t>
      </w:r>
      <w:r w:rsidRPr="0089309F">
        <w:rPr>
          <w:rFonts w:ascii="Garamond" w:hAnsi="Garamond"/>
        </w:rPr>
        <w:softHyphen/>
        <w:t>begrens</w:t>
      </w:r>
      <w:r w:rsidRPr="0089309F">
        <w:rPr>
          <w:rFonts w:ascii="Garamond" w:hAnsi="Garamond"/>
        </w:rPr>
        <w:softHyphen/>
        <w:t>ning. Tidsbegrensede kontrakter kan dog benyttes dersom arbeidets karakter tilsier det, f.eks. ved oppdrag som er begrenset i tid og omfang på en måte som skiller seg fra instituttets ordinære aktivi</w:t>
      </w:r>
      <w:r w:rsidRPr="0089309F">
        <w:rPr>
          <w:rFonts w:ascii="Garamond" w:hAnsi="Garamond"/>
        </w:rPr>
        <w:softHyphen/>
        <w:t>tet. De tillitsvalgte informeres før tidsbegrensede kontrakter inngås.</w:t>
      </w:r>
    </w:p>
    <w:p w14:paraId="5B5D920C" w14:textId="77777777" w:rsidR="00814892" w:rsidRPr="0089309F" w:rsidRDefault="00814892" w:rsidP="00814892">
      <w:pPr>
        <w:pStyle w:val="Liste"/>
        <w:numPr>
          <w:ilvl w:val="0"/>
          <w:numId w:val="41"/>
        </w:numPr>
        <w:rPr>
          <w:rFonts w:ascii="Garamond" w:hAnsi="Garamond"/>
        </w:rPr>
      </w:pPr>
      <w:r w:rsidRPr="0089309F">
        <w:rPr>
          <w:rFonts w:ascii="Garamond" w:hAnsi="Garamond"/>
        </w:rPr>
        <w:t xml:space="preserve">Direktøren tilsetter alle nye arbeidstakere for en prøvetid på 6 måneder. Arbeidstakere som ikke er oppsagt innen prøvetidens utløp, regnes for fast tilsatte. </w:t>
      </w:r>
    </w:p>
    <w:p w14:paraId="2FB8AC87" w14:textId="77777777" w:rsidR="00814892" w:rsidRPr="0089309F" w:rsidRDefault="00814892" w:rsidP="00814892">
      <w:pPr>
        <w:pStyle w:val="Liste"/>
        <w:numPr>
          <w:ilvl w:val="0"/>
          <w:numId w:val="41"/>
        </w:numPr>
        <w:rPr>
          <w:rFonts w:ascii="Garamond" w:hAnsi="Garamond"/>
        </w:rPr>
      </w:pPr>
      <w:r w:rsidRPr="0089309F">
        <w:rPr>
          <w:rFonts w:ascii="Garamond" w:hAnsi="Garamond"/>
        </w:rPr>
        <w:t>Tilsettinger skjer skriftlig med angivelse av tittel, hovedarbeidsområ</w:t>
      </w:r>
      <w:r w:rsidRPr="0089309F">
        <w:rPr>
          <w:rFonts w:ascii="Garamond" w:hAnsi="Garamond"/>
        </w:rPr>
        <w:softHyphen/>
        <w:t>de, ansiennitet og lønn ved tilsettingen. Dersom det følger særskilte plikter eller rettigheter ved stillingen, angis dette i ansettelseskontrak</w:t>
      </w:r>
      <w:r w:rsidRPr="0089309F">
        <w:rPr>
          <w:rFonts w:ascii="Garamond" w:hAnsi="Garamond"/>
        </w:rPr>
        <w:softHyphen/>
        <w:t>ten.</w:t>
      </w:r>
    </w:p>
    <w:p w14:paraId="5ABF8C89" w14:textId="77777777" w:rsidR="00814892" w:rsidRPr="0089309F" w:rsidRDefault="00814892" w:rsidP="00814892">
      <w:pPr>
        <w:pStyle w:val="Liste"/>
        <w:numPr>
          <w:ilvl w:val="0"/>
          <w:numId w:val="41"/>
        </w:numPr>
        <w:rPr>
          <w:rFonts w:ascii="Garamond" w:hAnsi="Garamond"/>
        </w:rPr>
      </w:pPr>
      <w:r w:rsidRPr="0089309F">
        <w:rPr>
          <w:rFonts w:ascii="Garamond" w:hAnsi="Garamond"/>
        </w:rPr>
        <w:t>For personer som blir midlertidig tilsatt skal arbeidsforholdets varighet, hovedarbeidsområdet og lønn fastsettes skriftlig. Slike tilsettinger bør normalt ikke ha lengre varighet enn 6 måneder. Dersom arbeidstake</w:t>
      </w:r>
      <w:r w:rsidRPr="0089309F">
        <w:rPr>
          <w:rFonts w:ascii="Garamond" w:hAnsi="Garamond"/>
        </w:rPr>
        <w:softHyphen/>
        <w:t>ren blir fast tilsatt før eller ved utløpet av den midlertidige tilsettings</w:t>
      </w:r>
      <w:r w:rsidRPr="0089309F">
        <w:rPr>
          <w:rFonts w:ascii="Garamond" w:hAnsi="Garamond"/>
        </w:rPr>
        <w:softHyphen/>
        <w:t>tiden, skal den tiden vedkommende har vært midlertidig tilsatt trek</w:t>
      </w:r>
      <w:r w:rsidRPr="0089309F">
        <w:rPr>
          <w:rFonts w:ascii="Garamond" w:hAnsi="Garamond"/>
        </w:rPr>
        <w:softHyphen/>
        <w:t>kes fra prøvetiden på 6 måneder.</w:t>
      </w:r>
    </w:p>
    <w:p w14:paraId="017F4747" w14:textId="77777777" w:rsidR="00814892" w:rsidRPr="0089309F" w:rsidRDefault="00814892" w:rsidP="00814892">
      <w:pPr>
        <w:pStyle w:val="Liste"/>
        <w:numPr>
          <w:ilvl w:val="0"/>
          <w:numId w:val="41"/>
        </w:numPr>
        <w:rPr>
          <w:rFonts w:ascii="Garamond" w:hAnsi="Garamond"/>
        </w:rPr>
      </w:pPr>
      <w:r w:rsidRPr="0089309F">
        <w:rPr>
          <w:rFonts w:ascii="Garamond" w:hAnsi="Garamond"/>
        </w:rPr>
        <w:t>Arbeidsgivers representant skal sørge for å orientere tillitspersonene om nyansettelser. Det kan etter avtale mellom partene innkalles til introduksjons</w:t>
      </w:r>
      <w:r w:rsidRPr="0089309F">
        <w:rPr>
          <w:rFonts w:ascii="Garamond" w:hAnsi="Garamond"/>
        </w:rPr>
        <w:softHyphen/>
        <w:t xml:space="preserve">møter for nyansatte. </w:t>
      </w:r>
    </w:p>
    <w:p w14:paraId="0ADE2AAA" w14:textId="77777777" w:rsidR="00814892" w:rsidRPr="0089309F" w:rsidRDefault="00814892" w:rsidP="00CD36BA">
      <w:pPr>
        <w:pStyle w:val="parafering0"/>
        <w:rPr>
          <w:rFonts w:ascii="Garamond" w:hAnsi="Garamond"/>
        </w:rPr>
      </w:pPr>
    </w:p>
    <w:sectPr w:rsidR="00814892" w:rsidRPr="0089309F" w:rsidSect="0045597E">
      <w:headerReference w:type="default" r:id="rId7"/>
      <w:headerReference w:type="first" r:id="rId8"/>
      <w:footerReference w:type="first" r:id="rId9"/>
      <w:pgSz w:w="11906" w:h="16838" w:code="9"/>
      <w:pgMar w:top="2268" w:right="1985" w:bottom="2268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B788" w14:textId="77777777" w:rsidR="00653A00" w:rsidRDefault="00653A00">
      <w:r>
        <w:separator/>
      </w:r>
    </w:p>
  </w:endnote>
  <w:endnote w:type="continuationSeparator" w:id="0">
    <w:p w14:paraId="3A679DA8" w14:textId="77777777" w:rsidR="00653A00" w:rsidRDefault="0065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95E1" w14:textId="77777777" w:rsidR="0045597E" w:rsidRDefault="006F7CB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E39A3CC" wp14:editId="144DB66F">
          <wp:simplePos x="0" y="0"/>
          <wp:positionH relativeFrom="page">
            <wp:posOffset>0</wp:posOffset>
          </wp:positionH>
          <wp:positionV relativeFrom="page">
            <wp:posOffset>9258300</wp:posOffset>
          </wp:positionV>
          <wp:extent cx="7562850" cy="1428750"/>
          <wp:effectExtent l="1905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 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7442" w14:textId="77777777" w:rsidR="00653A00" w:rsidRDefault="00653A00">
      <w:r>
        <w:separator/>
      </w:r>
    </w:p>
  </w:footnote>
  <w:footnote w:type="continuationSeparator" w:id="0">
    <w:p w14:paraId="054521CF" w14:textId="77777777" w:rsidR="00653A00" w:rsidRDefault="0065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8536" w14:textId="77777777" w:rsidR="005E6AD5" w:rsidRPr="005E6AD5" w:rsidRDefault="005E6AD5" w:rsidP="005E6AD5">
    <w:pPr>
      <w:pStyle w:val="Topptekst"/>
      <w:jc w:val="center"/>
    </w:pPr>
    <w:r w:rsidRPr="00F562C0">
      <w:t xml:space="preserve">- </w:t>
    </w:r>
    <w:r w:rsidR="00CC2DCB" w:rsidRPr="00F562C0">
      <w:fldChar w:fldCharType="begin"/>
    </w:r>
    <w:r w:rsidRPr="00F562C0">
      <w:instrText xml:space="preserve"> PAGE </w:instrText>
    </w:r>
    <w:r w:rsidR="00CC2DCB" w:rsidRPr="00F562C0">
      <w:fldChar w:fldCharType="separate"/>
    </w:r>
    <w:r w:rsidR="00724304">
      <w:rPr>
        <w:noProof/>
      </w:rPr>
      <w:t>3</w:t>
    </w:r>
    <w:r w:rsidR="00CC2DCB" w:rsidRPr="00F562C0">
      <w:fldChar w:fldCharType="end"/>
    </w:r>
    <w:r w:rsidRPr="00F562C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2361" w14:textId="77777777" w:rsidR="0045597E" w:rsidRDefault="006F7C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97C9D4C" wp14:editId="7CAB2F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3048006"/>
          <wp:effectExtent l="19050" t="0" r="379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 top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304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225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0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C6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2B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45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48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06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0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D2F0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FC2E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6E62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10E6F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054B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A3604"/>
    <w:multiLevelType w:val="multilevel"/>
    <w:tmpl w:val="0409001D"/>
    <w:name w:val="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AF6899"/>
    <w:multiLevelType w:val="multilevel"/>
    <w:tmpl w:val="176CF14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CB135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CE747A"/>
    <w:multiLevelType w:val="multilevel"/>
    <w:tmpl w:val="612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E03"/>
    <w:multiLevelType w:val="multilevel"/>
    <w:tmpl w:val="0409001F"/>
    <w:name w:val="PlainNum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8C93D38"/>
    <w:multiLevelType w:val="multilevel"/>
    <w:tmpl w:val="2670DBF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A602E85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314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20F6D"/>
    <w:multiLevelType w:val="hybridMultilevel"/>
    <w:tmpl w:val="171AB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36AB"/>
    <w:multiLevelType w:val="multilevel"/>
    <w:tmpl w:val="B7CCA838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601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C4E0B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33C7E24"/>
    <w:multiLevelType w:val="singleLevel"/>
    <w:tmpl w:val="7C3A4606"/>
    <w:lvl w:ilvl="0">
      <w:start w:val="1"/>
      <w:numFmt w:val="decimal"/>
      <w:pStyle w:val="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BE118F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DC813EC"/>
    <w:multiLevelType w:val="multilevel"/>
    <w:tmpl w:val="53647F64"/>
    <w:name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ED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2E2357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5170010"/>
    <w:multiLevelType w:val="hybridMultilevel"/>
    <w:tmpl w:val="27846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04BD2"/>
    <w:multiLevelType w:val="multilevel"/>
    <w:tmpl w:val="5CEAF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232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B881A13"/>
    <w:multiLevelType w:val="multilevel"/>
    <w:tmpl w:val="04090023"/>
    <w:name w:val="PlainNumList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6C32183D"/>
    <w:multiLevelType w:val="hybridMultilevel"/>
    <w:tmpl w:val="2F622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11E57"/>
    <w:multiLevelType w:val="hybridMultilevel"/>
    <w:tmpl w:val="5CEAF7CE"/>
    <w:lvl w:ilvl="0" w:tplc="D22A11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A4A6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68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0F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68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C1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2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48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F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9A0FED"/>
    <w:multiLevelType w:val="multilevel"/>
    <w:tmpl w:val="0409001D"/>
    <w:name w:val="Plain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F864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7"/>
  </w:num>
  <w:num w:numId="2">
    <w:abstractNumId w:val="18"/>
  </w:num>
  <w:num w:numId="3">
    <w:abstractNumId w:val="33"/>
  </w:num>
  <w:num w:numId="4">
    <w:abstractNumId w:val="12"/>
  </w:num>
  <w:num w:numId="5">
    <w:abstractNumId w:val="10"/>
  </w:num>
  <w:num w:numId="6">
    <w:abstractNumId w:val="29"/>
  </w:num>
  <w:num w:numId="7">
    <w:abstractNumId w:val="22"/>
  </w:num>
  <w:num w:numId="8">
    <w:abstractNumId w:val="28"/>
  </w:num>
  <w:num w:numId="9">
    <w:abstractNumId w:val="19"/>
  </w:num>
  <w:num w:numId="10">
    <w:abstractNumId w:val="38"/>
  </w:num>
  <w:num w:numId="11">
    <w:abstractNumId w:val="35"/>
  </w:num>
  <w:num w:numId="12">
    <w:abstractNumId w:val="2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9"/>
  </w:num>
  <w:num w:numId="23">
    <w:abstractNumId w:val="21"/>
  </w:num>
  <w:num w:numId="24">
    <w:abstractNumId w:val="15"/>
  </w:num>
  <w:num w:numId="25">
    <w:abstractNumId w:val="34"/>
  </w:num>
  <w:num w:numId="26">
    <w:abstractNumId w:val="25"/>
  </w:num>
  <w:num w:numId="27">
    <w:abstractNumId w:val="16"/>
  </w:num>
  <w:num w:numId="28">
    <w:abstractNumId w:val="14"/>
  </w:num>
  <w:num w:numId="29">
    <w:abstractNumId w:val="30"/>
  </w:num>
  <w:num w:numId="30">
    <w:abstractNumId w:val="20"/>
  </w:num>
  <w:num w:numId="31">
    <w:abstractNumId w:val="17"/>
  </w:num>
  <w:num w:numId="32">
    <w:abstractNumId w:val="39"/>
  </w:num>
  <w:num w:numId="33">
    <w:abstractNumId w:val="11"/>
  </w:num>
  <w:num w:numId="34">
    <w:abstractNumId w:val="9"/>
  </w:num>
  <w:num w:numId="35">
    <w:abstractNumId w:val="26"/>
  </w:num>
  <w:num w:numId="36">
    <w:abstractNumId w:val="13"/>
  </w:num>
  <w:num w:numId="37">
    <w:abstractNumId w:val="31"/>
  </w:num>
  <w:num w:numId="38">
    <w:abstractNumId w:val="23"/>
  </w:num>
  <w:num w:numId="39">
    <w:abstractNumId w:val="32"/>
  </w:num>
  <w:num w:numId="40">
    <w:abstractNumId w:val="27"/>
    <w:lvlOverride w:ilvl="0">
      <w:startOverride w:val="1"/>
    </w:lvlOverride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A"/>
    <w:rsid w:val="00011AEF"/>
    <w:rsid w:val="0002403C"/>
    <w:rsid w:val="00024CE7"/>
    <w:rsid w:val="00037064"/>
    <w:rsid w:val="000436BB"/>
    <w:rsid w:val="000537A3"/>
    <w:rsid w:val="00054B0C"/>
    <w:rsid w:val="000920F2"/>
    <w:rsid w:val="00096EE9"/>
    <w:rsid w:val="000B3429"/>
    <w:rsid w:val="000C2BF1"/>
    <w:rsid w:val="000C3189"/>
    <w:rsid w:val="001108DE"/>
    <w:rsid w:val="00132C91"/>
    <w:rsid w:val="00156CE4"/>
    <w:rsid w:val="00171568"/>
    <w:rsid w:val="00174A3A"/>
    <w:rsid w:val="001804B1"/>
    <w:rsid w:val="00182B2B"/>
    <w:rsid w:val="00193AAE"/>
    <w:rsid w:val="001D3E15"/>
    <w:rsid w:val="001E266B"/>
    <w:rsid w:val="001E5BED"/>
    <w:rsid w:val="00201426"/>
    <w:rsid w:val="002105E5"/>
    <w:rsid w:val="00220C22"/>
    <w:rsid w:val="002503C6"/>
    <w:rsid w:val="00250F29"/>
    <w:rsid w:val="00256F72"/>
    <w:rsid w:val="00257708"/>
    <w:rsid w:val="0026075F"/>
    <w:rsid w:val="0026288F"/>
    <w:rsid w:val="00272EAA"/>
    <w:rsid w:val="00281F49"/>
    <w:rsid w:val="002A45EB"/>
    <w:rsid w:val="002C147F"/>
    <w:rsid w:val="002C3CAC"/>
    <w:rsid w:val="002D4F6C"/>
    <w:rsid w:val="002E002F"/>
    <w:rsid w:val="002E72B9"/>
    <w:rsid w:val="002F530B"/>
    <w:rsid w:val="00305E34"/>
    <w:rsid w:val="00334940"/>
    <w:rsid w:val="00343B96"/>
    <w:rsid w:val="00345C30"/>
    <w:rsid w:val="00352AD7"/>
    <w:rsid w:val="00366B46"/>
    <w:rsid w:val="0039750C"/>
    <w:rsid w:val="003B087E"/>
    <w:rsid w:val="003D6918"/>
    <w:rsid w:val="003F60FE"/>
    <w:rsid w:val="004110E2"/>
    <w:rsid w:val="0041672F"/>
    <w:rsid w:val="00417A8D"/>
    <w:rsid w:val="00425E96"/>
    <w:rsid w:val="00435B63"/>
    <w:rsid w:val="00441761"/>
    <w:rsid w:val="004464EF"/>
    <w:rsid w:val="0045597E"/>
    <w:rsid w:val="00466848"/>
    <w:rsid w:val="00473AD6"/>
    <w:rsid w:val="004856EA"/>
    <w:rsid w:val="00493A45"/>
    <w:rsid w:val="00494B9A"/>
    <w:rsid w:val="004C7A47"/>
    <w:rsid w:val="004D2208"/>
    <w:rsid w:val="004D3F17"/>
    <w:rsid w:val="00502327"/>
    <w:rsid w:val="0051399B"/>
    <w:rsid w:val="00554057"/>
    <w:rsid w:val="00576656"/>
    <w:rsid w:val="00580D09"/>
    <w:rsid w:val="00584A7D"/>
    <w:rsid w:val="0059646B"/>
    <w:rsid w:val="005A415E"/>
    <w:rsid w:val="005B30BC"/>
    <w:rsid w:val="005B4D9D"/>
    <w:rsid w:val="005B4DF8"/>
    <w:rsid w:val="005E6AD5"/>
    <w:rsid w:val="005F169A"/>
    <w:rsid w:val="00601164"/>
    <w:rsid w:val="00640372"/>
    <w:rsid w:val="00643C3B"/>
    <w:rsid w:val="006517E9"/>
    <w:rsid w:val="00653A00"/>
    <w:rsid w:val="006741A9"/>
    <w:rsid w:val="00686ACF"/>
    <w:rsid w:val="00695668"/>
    <w:rsid w:val="006B086D"/>
    <w:rsid w:val="006B13C9"/>
    <w:rsid w:val="006B1479"/>
    <w:rsid w:val="006C7C2D"/>
    <w:rsid w:val="006D3A28"/>
    <w:rsid w:val="006D6899"/>
    <w:rsid w:val="006E1247"/>
    <w:rsid w:val="006E53CB"/>
    <w:rsid w:val="006F3982"/>
    <w:rsid w:val="006F44C5"/>
    <w:rsid w:val="006F7CB7"/>
    <w:rsid w:val="00717B18"/>
    <w:rsid w:val="00724304"/>
    <w:rsid w:val="00743DA1"/>
    <w:rsid w:val="007510B5"/>
    <w:rsid w:val="007541B9"/>
    <w:rsid w:val="00754D5A"/>
    <w:rsid w:val="00766C74"/>
    <w:rsid w:val="007752E4"/>
    <w:rsid w:val="00780D12"/>
    <w:rsid w:val="007811AB"/>
    <w:rsid w:val="00785907"/>
    <w:rsid w:val="00792251"/>
    <w:rsid w:val="0079703B"/>
    <w:rsid w:val="007A75B0"/>
    <w:rsid w:val="007C7E3C"/>
    <w:rsid w:val="007F6DF2"/>
    <w:rsid w:val="00804638"/>
    <w:rsid w:val="00814892"/>
    <w:rsid w:val="0082353A"/>
    <w:rsid w:val="00835481"/>
    <w:rsid w:val="00840065"/>
    <w:rsid w:val="00843985"/>
    <w:rsid w:val="00870A54"/>
    <w:rsid w:val="00872160"/>
    <w:rsid w:val="00881115"/>
    <w:rsid w:val="0088739D"/>
    <w:rsid w:val="008873B2"/>
    <w:rsid w:val="0089309F"/>
    <w:rsid w:val="00893AB1"/>
    <w:rsid w:val="008A4258"/>
    <w:rsid w:val="008A4BA6"/>
    <w:rsid w:val="008A6769"/>
    <w:rsid w:val="008E0A24"/>
    <w:rsid w:val="008E355D"/>
    <w:rsid w:val="008E6614"/>
    <w:rsid w:val="008F468B"/>
    <w:rsid w:val="00933A15"/>
    <w:rsid w:val="00937472"/>
    <w:rsid w:val="00940CCB"/>
    <w:rsid w:val="00974244"/>
    <w:rsid w:val="009755B1"/>
    <w:rsid w:val="00982C51"/>
    <w:rsid w:val="00991D8E"/>
    <w:rsid w:val="00991FA2"/>
    <w:rsid w:val="009B0482"/>
    <w:rsid w:val="009C2998"/>
    <w:rsid w:val="009E36CA"/>
    <w:rsid w:val="009F4F93"/>
    <w:rsid w:val="009F7DCC"/>
    <w:rsid w:val="00A02190"/>
    <w:rsid w:val="00A361EC"/>
    <w:rsid w:val="00A809EB"/>
    <w:rsid w:val="00A84CCB"/>
    <w:rsid w:val="00A85255"/>
    <w:rsid w:val="00AB542E"/>
    <w:rsid w:val="00AC159E"/>
    <w:rsid w:val="00AC3C5F"/>
    <w:rsid w:val="00AD5B2F"/>
    <w:rsid w:val="00AE4E7F"/>
    <w:rsid w:val="00AE4F36"/>
    <w:rsid w:val="00AF5B94"/>
    <w:rsid w:val="00B030CE"/>
    <w:rsid w:val="00B1736B"/>
    <w:rsid w:val="00B24AC4"/>
    <w:rsid w:val="00B600F8"/>
    <w:rsid w:val="00B603A4"/>
    <w:rsid w:val="00B607F3"/>
    <w:rsid w:val="00B75BC9"/>
    <w:rsid w:val="00B851EB"/>
    <w:rsid w:val="00B85BC9"/>
    <w:rsid w:val="00BA47EC"/>
    <w:rsid w:val="00BE2861"/>
    <w:rsid w:val="00BF2028"/>
    <w:rsid w:val="00BF5FB2"/>
    <w:rsid w:val="00C11FFE"/>
    <w:rsid w:val="00C304F8"/>
    <w:rsid w:val="00C347F2"/>
    <w:rsid w:val="00C472E7"/>
    <w:rsid w:val="00C550FF"/>
    <w:rsid w:val="00C56632"/>
    <w:rsid w:val="00C66DA3"/>
    <w:rsid w:val="00C73CC3"/>
    <w:rsid w:val="00CC2DCB"/>
    <w:rsid w:val="00CC5839"/>
    <w:rsid w:val="00CD36BA"/>
    <w:rsid w:val="00D04DE6"/>
    <w:rsid w:val="00D11BA5"/>
    <w:rsid w:val="00D12F09"/>
    <w:rsid w:val="00D734F9"/>
    <w:rsid w:val="00D74F8C"/>
    <w:rsid w:val="00D76726"/>
    <w:rsid w:val="00D94822"/>
    <w:rsid w:val="00DC4F5E"/>
    <w:rsid w:val="00DD0551"/>
    <w:rsid w:val="00DF44D6"/>
    <w:rsid w:val="00E27F31"/>
    <w:rsid w:val="00E36F78"/>
    <w:rsid w:val="00E52223"/>
    <w:rsid w:val="00E56A34"/>
    <w:rsid w:val="00E82639"/>
    <w:rsid w:val="00E95813"/>
    <w:rsid w:val="00E97926"/>
    <w:rsid w:val="00EA59FE"/>
    <w:rsid w:val="00EA682F"/>
    <w:rsid w:val="00EC6A3B"/>
    <w:rsid w:val="00EE508F"/>
    <w:rsid w:val="00EE736C"/>
    <w:rsid w:val="00EF323A"/>
    <w:rsid w:val="00EF6BB8"/>
    <w:rsid w:val="00F176F5"/>
    <w:rsid w:val="00F2773D"/>
    <w:rsid w:val="00F33B14"/>
    <w:rsid w:val="00F3741E"/>
    <w:rsid w:val="00F438F0"/>
    <w:rsid w:val="00F56D45"/>
    <w:rsid w:val="00FA20E6"/>
    <w:rsid w:val="00FB4662"/>
    <w:rsid w:val="00FD01EC"/>
    <w:rsid w:val="00FD17A8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E7703D"/>
  <w15:docId w15:val="{BD564721-CDDF-4CA2-8E0C-5F7F9E9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CE4"/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1E5BED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1E5BED"/>
    <w:pPr>
      <w:spacing w:after="120"/>
      <w:outlineLvl w:val="1"/>
    </w:pPr>
    <w:rPr>
      <w:bCs w:val="0"/>
      <w:iCs/>
      <w:szCs w:val="28"/>
    </w:rPr>
  </w:style>
  <w:style w:type="paragraph" w:styleId="Overskrift3">
    <w:name w:val="heading 3"/>
    <w:basedOn w:val="Overskrift2"/>
    <w:next w:val="Normal"/>
    <w:qFormat/>
    <w:rsid w:val="001E5BED"/>
    <w:pPr>
      <w:spacing w:after="60"/>
      <w:outlineLvl w:val="2"/>
    </w:pPr>
    <w:rPr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D36BA"/>
    <w:pPr>
      <w:keepNext/>
      <w:ind w:left="864" w:hanging="864"/>
      <w:outlineLvl w:val="3"/>
    </w:pPr>
    <w:rPr>
      <w:rFonts w:asciiTheme="majorHAnsi" w:hAnsiTheme="majorHAnsi"/>
      <w:b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CD36BA"/>
    <w:pPr>
      <w:ind w:left="1008" w:hanging="1008"/>
      <w:outlineLvl w:val="4"/>
    </w:pPr>
    <w:rPr>
      <w:rFonts w:asciiTheme="majorHAnsi" w:hAnsiTheme="majorHAnsi"/>
      <w:i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CD36BA"/>
    <w:pPr>
      <w:ind w:left="1152" w:hanging="1152"/>
      <w:outlineLvl w:val="5"/>
    </w:pPr>
    <w:rPr>
      <w:rFonts w:ascii="Garamond" w:hAnsi="Garamond"/>
      <w:sz w:val="22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CD36BA"/>
    <w:pPr>
      <w:ind w:left="1296" w:hanging="1296"/>
      <w:outlineLvl w:val="6"/>
    </w:pPr>
    <w:rPr>
      <w:rFonts w:ascii="Garamond" w:hAnsi="Garamond"/>
      <w:i/>
      <w:sz w:val="22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CD36BA"/>
    <w:pPr>
      <w:ind w:left="1440" w:hanging="1440"/>
      <w:outlineLvl w:val="7"/>
    </w:pPr>
    <w:rPr>
      <w:rFonts w:ascii="Garamond" w:hAnsi="Garamond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CD36BA"/>
    <w:pPr>
      <w:ind w:left="1584" w:hanging="1584"/>
      <w:outlineLvl w:val="8"/>
    </w:pPr>
    <w:rPr>
      <w:rFonts w:ascii="Garamond" w:hAnsi="Garamond"/>
      <w:b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70A54"/>
    <w:pPr>
      <w:ind w:left="-737"/>
    </w:pPr>
  </w:style>
  <w:style w:type="paragraph" w:styleId="Bunntekst">
    <w:name w:val="footer"/>
    <w:basedOn w:val="Normal"/>
    <w:semiHidden/>
    <w:rsid w:val="00D76726"/>
    <w:pPr>
      <w:spacing w:line="288" w:lineRule="auto"/>
      <w:ind w:left="-1134" w:right="-1134"/>
    </w:pPr>
    <w:rPr>
      <w:rFonts w:ascii="Arial" w:hAnsi="Arial"/>
      <w:b/>
      <w:color w:val="40919A"/>
      <w:sz w:val="14"/>
    </w:rPr>
  </w:style>
  <w:style w:type="table" w:styleId="Tabellrutenett">
    <w:name w:val="Table Grid"/>
    <w:basedOn w:val="Vanligtabell"/>
    <w:semiHidden/>
    <w:rsid w:val="0068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ker">
    <w:name w:val="Mottaker"/>
    <w:basedOn w:val="Normal"/>
    <w:rsid w:val="008A4258"/>
    <w:pPr>
      <w:framePr w:w="4536" w:h="1701" w:hRule="exact" w:wrap="notBeside" w:vAnchor="page" w:hAnchor="margin" w:y="2269"/>
    </w:pPr>
  </w:style>
  <w:style w:type="paragraph" w:customStyle="1" w:styleId="ref">
    <w:name w:val="ref"/>
    <w:basedOn w:val="Normal"/>
    <w:rsid w:val="00A361EC"/>
    <w:pPr>
      <w:framePr w:w="2835" w:h="2552" w:hRule="exact" w:wrap="around" w:vAnchor="page" w:hAnchor="page" w:x="8506" w:y="812"/>
      <w:spacing w:after="120" w:line="288" w:lineRule="auto"/>
      <w:jc w:val="right"/>
    </w:pPr>
    <w:rPr>
      <w:i/>
      <w:noProof/>
      <w:sz w:val="20"/>
      <w:szCs w:val="17"/>
    </w:rPr>
  </w:style>
  <w:style w:type="paragraph" w:customStyle="1" w:styleId="Hilsen1">
    <w:name w:val="Hilsen1"/>
    <w:basedOn w:val="Normal"/>
    <w:rsid w:val="00C550FF"/>
    <w:pPr>
      <w:spacing w:before="480"/>
    </w:pPr>
  </w:style>
  <w:style w:type="paragraph" w:customStyle="1" w:styleId="Underskrift-stilling">
    <w:name w:val="Underskrift - stilling"/>
    <w:basedOn w:val="Normal"/>
    <w:next w:val="Normal"/>
    <w:autoRedefine/>
    <w:rsid w:val="00EF323A"/>
    <w:pPr>
      <w:keepNext/>
      <w:tabs>
        <w:tab w:val="left" w:pos="5245"/>
      </w:tabs>
    </w:pPr>
    <w:rPr>
      <w:szCs w:val="20"/>
      <w:lang w:eastAsia="nb-NO"/>
    </w:rPr>
  </w:style>
  <w:style w:type="paragraph" w:customStyle="1" w:styleId="Parafering">
    <w:name w:val="Parafering"/>
    <w:basedOn w:val="Normal"/>
    <w:rsid w:val="00B75BC9"/>
    <w:pPr>
      <w:ind w:left="5103"/>
    </w:pPr>
    <w:rPr>
      <w:lang w:eastAsia="nb-NO"/>
    </w:rPr>
  </w:style>
  <w:style w:type="paragraph" w:customStyle="1" w:styleId="parafering0">
    <w:name w:val="parafering"/>
    <w:basedOn w:val="Underskrift-stilling"/>
    <w:rsid w:val="003F60FE"/>
  </w:style>
  <w:style w:type="paragraph" w:styleId="Bobletekst">
    <w:name w:val="Balloon Text"/>
    <w:basedOn w:val="Normal"/>
    <w:link w:val="BobletekstTegn"/>
    <w:rsid w:val="004D22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D2208"/>
    <w:rPr>
      <w:rFonts w:ascii="Tahoma" w:hAnsi="Tahoma" w:cs="Tahoma"/>
      <w:sz w:val="16"/>
      <w:szCs w:val="16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CD36BA"/>
    <w:rPr>
      <w:rFonts w:asciiTheme="majorHAnsi" w:hAnsiTheme="majorHAnsi"/>
      <w:b/>
      <w:sz w:val="24"/>
    </w:rPr>
  </w:style>
  <w:style w:type="character" w:customStyle="1" w:styleId="Overskrift5Tegn">
    <w:name w:val="Overskrift 5 Tegn"/>
    <w:basedOn w:val="Standardskriftforavsnitt"/>
    <w:link w:val="Overskrift5"/>
    <w:rsid w:val="00CD36BA"/>
    <w:rPr>
      <w:rFonts w:asciiTheme="majorHAnsi" w:hAnsiTheme="majorHAnsi"/>
      <w:i/>
      <w:sz w:val="24"/>
    </w:rPr>
  </w:style>
  <w:style w:type="character" w:customStyle="1" w:styleId="Overskrift6Tegn">
    <w:name w:val="Overskrift 6 Tegn"/>
    <w:basedOn w:val="Standardskriftforavsnitt"/>
    <w:link w:val="Overskrift6"/>
    <w:rsid w:val="00CD36BA"/>
    <w:rPr>
      <w:rFonts w:ascii="Garamond" w:hAnsi="Garamond"/>
      <w:sz w:val="22"/>
    </w:rPr>
  </w:style>
  <w:style w:type="character" w:customStyle="1" w:styleId="Overskrift7Tegn">
    <w:name w:val="Overskrift 7 Tegn"/>
    <w:basedOn w:val="Standardskriftforavsnitt"/>
    <w:link w:val="Overskrift7"/>
    <w:rsid w:val="00CD36BA"/>
    <w:rPr>
      <w:rFonts w:ascii="Garamond" w:hAnsi="Garamond"/>
      <w:i/>
      <w:sz w:val="22"/>
    </w:rPr>
  </w:style>
  <w:style w:type="character" w:customStyle="1" w:styleId="Overskrift8Tegn">
    <w:name w:val="Overskrift 8 Tegn"/>
    <w:basedOn w:val="Standardskriftforavsnitt"/>
    <w:link w:val="Overskrift8"/>
    <w:rsid w:val="00CD36BA"/>
    <w:rPr>
      <w:rFonts w:ascii="Garamond" w:hAnsi="Garamond"/>
      <w:i/>
    </w:rPr>
  </w:style>
  <w:style w:type="character" w:customStyle="1" w:styleId="Overskrift9Tegn">
    <w:name w:val="Overskrift 9 Tegn"/>
    <w:basedOn w:val="Standardskriftforavsnitt"/>
    <w:link w:val="Overskrift9"/>
    <w:rsid w:val="00CD36BA"/>
    <w:rPr>
      <w:rFonts w:ascii="Garamond" w:hAnsi="Garamond"/>
      <w:b/>
      <w:i/>
      <w:sz w:val="18"/>
    </w:rPr>
  </w:style>
  <w:style w:type="paragraph" w:styleId="Listeavsnitt">
    <w:name w:val="List Paragraph"/>
    <w:basedOn w:val="Normal"/>
    <w:uiPriority w:val="34"/>
    <w:qFormat/>
    <w:rsid w:val="00B603A4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BF202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F202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F2028"/>
    <w:rPr>
      <w:rFonts w:asciiTheme="minorHAnsi" w:hAnsiTheme="minorHAns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F202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F2028"/>
    <w:rPr>
      <w:rFonts w:asciiTheme="minorHAnsi" w:hAnsiTheme="minorHAnsi"/>
      <w:b/>
      <w:bCs/>
      <w:lang w:eastAsia="en-US"/>
    </w:rPr>
  </w:style>
  <w:style w:type="paragraph" w:styleId="Liste">
    <w:name w:val="List"/>
    <w:basedOn w:val="Brdtekst"/>
    <w:rsid w:val="00814892"/>
    <w:pPr>
      <w:numPr>
        <w:numId w:val="40"/>
      </w:numPr>
      <w:tabs>
        <w:tab w:val="clear" w:pos="360"/>
        <w:tab w:val="num" w:pos="1492"/>
      </w:tabs>
      <w:spacing w:before="115" w:after="0"/>
      <w:ind w:left="1492"/>
    </w:pPr>
    <w:rPr>
      <w:rFonts w:ascii="Times New Roman" w:hAnsi="Times New Roman"/>
      <w:szCs w:val="20"/>
      <w:lang w:bidi="he-IL"/>
    </w:rPr>
  </w:style>
  <w:style w:type="paragraph" w:styleId="Brdtekst">
    <w:name w:val="Body Text"/>
    <w:basedOn w:val="Normal"/>
    <w:link w:val="BrdtekstTegn"/>
    <w:semiHidden/>
    <w:unhideWhenUsed/>
    <w:rsid w:val="00814892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814892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e\AppData\Roaming\Microsoft\Maler\brev-no-m-logo.DOTm" TargetMode="External"/></Relationships>
</file>

<file path=word/theme/theme1.xml><?xml version="1.0" encoding="utf-8"?>
<a:theme xmlns:a="http://schemas.openxmlformats.org/drawingml/2006/main" name="TØI">
  <a:themeElements>
    <a:clrScheme name="TØI">
      <a:dk1>
        <a:sysClr val="windowText" lastClr="000000"/>
      </a:dk1>
      <a:lt1>
        <a:sysClr val="window" lastClr="FFFFFF"/>
      </a:lt1>
      <a:dk2>
        <a:srgbClr val="7B715E"/>
      </a:dk2>
      <a:lt2>
        <a:srgbClr val="E7E5E1"/>
      </a:lt2>
      <a:accent1>
        <a:srgbClr val="3F868D"/>
      </a:accent1>
      <a:accent2>
        <a:srgbClr val="C5CC8E"/>
      </a:accent2>
      <a:accent3>
        <a:srgbClr val="D3741C"/>
      </a:accent3>
      <a:accent4>
        <a:srgbClr val="FFE271"/>
      </a:accent4>
      <a:accent5>
        <a:srgbClr val="8BC9DD"/>
      </a:accent5>
      <a:accent6>
        <a:srgbClr val="336699"/>
      </a:accent6>
      <a:hlink>
        <a:srgbClr val="336699"/>
      </a:hlink>
      <a:folHlink>
        <a:srgbClr val="777777"/>
      </a:folHlink>
    </a:clrScheme>
    <a:fontScheme name="TØI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brev-no-m-logo.DOTm</Template>
  <TotalTime>13</TotalTime>
  <Pages>3</Pages>
  <Words>827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TØI | Transportøkonomisk institutt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Hanne Sparre-Enger</cp:lastModifiedBy>
  <cp:revision>2</cp:revision>
  <cp:lastPrinted>2006-10-03T11:17:00Z</cp:lastPrinted>
  <dcterms:created xsi:type="dcterms:W3CDTF">2020-07-02T08:48:00Z</dcterms:created>
  <dcterms:modified xsi:type="dcterms:W3CDTF">2020-07-02T08:48:00Z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</Properties>
</file>